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The Greensboro Association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Governance Committee Report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August 2, 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Havilah Stewart Mann, chair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The Governance Committee was formed at the July 2, 2018 board meeting. Members include Vince Cubbage, Day Patterson, John Stone, and </w:t>
      </w:r>
      <w:r w:rsidDel="00000000" w:rsidR="00000000" w:rsidRPr="00000000">
        <w:rPr>
          <w:rtl w:val="0"/>
        </w:rPr>
        <w:t xml:space="preserve">Mary White. The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overnance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ommittee was tasked with reviewing and supplementing the Greensboro Association’s governing documents.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The committee’s work will be directed by checklist of policies required by Sarbanes-Oxley and reviewed by the IRS in the event of an 990 audit.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Per the Committee’s initial review.  The Greensboro Association has existing Bylaws and Conflict of Interest policy and </w:t>
      </w:r>
      <w:r w:rsidDel="00000000" w:rsidR="00000000" w:rsidRPr="00000000">
        <w:rPr>
          <w:rtl w:val="0"/>
        </w:rPr>
        <w:t xml:space="preserve">Investment Policy Statements for FFG Endowment</w:t>
      </w:r>
      <w:r w:rsidDel="00000000" w:rsidR="00000000" w:rsidRPr="00000000">
        <w:rPr>
          <w:rtl w:val="0"/>
        </w:rPr>
        <w:t xml:space="preserve">. In addition to reviewing those policies, the Committee is also in the process of creating a Fiscal &amp; Internal Controls document, Investment Policy Statements for reserves, Gift Acceptance policies.  </w:t>
      </w:r>
      <w:r w:rsidDel="00000000" w:rsidR="00000000" w:rsidRPr="00000000">
        <w:rPr>
          <w:rtl w:val="0"/>
        </w:rPr>
        <w:t xml:space="preserve">Two additional policies, Whistleblower, Document Retention, are required by Sarbanes-Oxley, and will completed as part of the process.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Times" w:cs="Times" w:eastAsia="Times" w:hAnsi="Times"/>
          <w:rtl w:val="0"/>
        </w:rPr>
        <w:t xml:space="preserve">Havilah Stewart Mann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